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8D3F69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D8710C" w:rsidRPr="00975CFD">
        <w:rPr>
          <w:rFonts w:ascii="Verdana" w:hAnsi="Verdana"/>
          <w:b/>
          <w:bCs/>
          <w:sz w:val="18"/>
          <w:szCs w:val="18"/>
        </w:rPr>
        <w:t>„Provádění revizí, prohlídek a zkoušek vzduchojemů na drážních vozidlech 2025–2027“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2D20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8710C"/>
    <w:rsid w:val="00D9176F"/>
    <w:rsid w:val="00D9470F"/>
    <w:rsid w:val="00DA2103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A2103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2018-11-26T13:52:00Z</dcterms:created>
  <dcterms:modified xsi:type="dcterms:W3CDTF">2024-10-22T13:10:00Z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